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9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0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right"/>
        <w:rPr>
          <w:sz w:val="24"/>
          <w:szCs w:val="24"/>
          <w:lang w:val="en-US"/>
        </w:rPr>
      </w:pPr>
      <w:bookmarkStart w:id="0" w:name="_GoBack"/>
      <w:r>
        <w:rPr>
          <w:rFonts w:cs="Times New Roman" w:ascii="Times New Roman" w:hAnsi="Times New Roman"/>
          <w:sz w:val="24"/>
          <w:szCs w:val="24"/>
        </w:rPr>
        <w:t>Приложение № 1 к Техническ</w:t>
      </w:r>
      <w:r>
        <w:rPr>
          <w:rFonts w:cs="Times New Roman" w:ascii="Times New Roman" w:hAnsi="Times New Roman"/>
          <w:sz w:val="24"/>
          <w:szCs w:val="24"/>
          <w:lang w:val="en-US"/>
        </w:rPr>
        <w:t>им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bookmarkEnd w:id="0"/>
      <w:r>
        <w:rPr>
          <w:rFonts w:cs="Times New Roman" w:ascii="Times New Roman" w:hAnsi="Times New Roman"/>
          <w:sz w:val="24"/>
          <w:szCs w:val="24"/>
          <w:lang w:val="en-US"/>
        </w:rPr>
        <w:t>требованиям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сметной документации на выполнение работ по программе ремонтов.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Настоящие требования разработаны для единого подхода к оформлению и составлению сметной документации на работы по ремонтам на 2026 год.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>не допускается</w:t>
      </w:r>
      <w:r>
        <w:rPr>
          <w:rFonts w:cs="Times New Roman" w:ascii="Times New Roman" w:hAnsi="Times New Roman"/>
          <w:sz w:val="28"/>
          <w:szCs w:val="28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8"/>
          <w:szCs w:val="28"/>
          <w:u w:val="single"/>
        </w:rPr>
        <w:t>должна быть не ниже 2025.1.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составлении смет руководствоваться</w:t>
      </w:r>
      <w:r>
        <w:rPr>
          <w:rFonts w:cs="Times New Roman" w:ascii="Times New Roman" w:hAnsi="Times New Roman"/>
          <w:sz w:val="28"/>
          <w:szCs w:val="28"/>
          <w:lang w:val="en-US"/>
        </w:rPr>
        <w:t>: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1134" w:leader="none"/>
        </w:tabs>
        <w:ind w:left="284" w:firstLine="283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Приказом ПАО «РусГидро» от 22.11.2022 №891 «Об утверждении Единой методики установления требований и критериев (отбора, оценки) при подготовке в проведении закупок в Группе РусГидро», с учетом изменений и дополнений;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1134" w:leader="none"/>
        </w:tabs>
        <w:ind w:left="284" w:firstLine="283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Приказом ПАО «РусГидро» от 23.11.2022г. №893 «Об утверждении Единой методики формирования плановой цены на закупаемую продукцию для организаций группы РусГидро», с учетом изменений и дополнений (далее – Методика ПЦ);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Сметная документация на ремонт энергетического оборудования составляется с применением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Энергоремонт», с учетом дополнений и изменений (БЦ с учетом Доп.1-12).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Поправочный индекс к Базовым ценам учитывать в размере, не превышающем предельный индекс, установленный ПАО «РусГидро»: для работ, выполняемых в 2026 году, применять поправочные индексы к БЦ в размере, не превышающем 2,46 с начислением индекса-дефлятора </w:t>
      </w:r>
      <w:r>
        <w:rPr>
          <w:rFonts w:ascii="Times New Roman" w:hAnsi="Times New Roman"/>
          <w:color w:val="000000"/>
          <w:sz w:val="28"/>
          <w:szCs w:val="28"/>
        </w:rPr>
        <w:t>на 2026 год в размере 7,57%, рассчитанного в соответствии с п.10 настоящих требований.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отсутствии единичных расценок на ремонт энергетического оборудования в БЦ, а также при составлении локальных смет на ремонт зданий и сооружений, сметная документация составляется базисно-индексным методом (далее – БИМ) с использованием сметно-нормативной базы ГЭСН-2020, ФЕР-2020 (с Изм.1-9) с КСР по приказу №969/пр от 17.11.2022. Сметная документация составляется в текущем уровне цен, с использованием единичных расценок, в том числе, их отдельных составляющих, сведения о которых включены в ФРСН.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случае отсутствия единичных расценок в действующей СНБ возможно определение сметной стоимости с применением государственных элементных сметных норм (далее – ГЭСН) сборников СНБ ФСНБ-2022 (актуальной на момент составления сметной документации), сметных норм сборников «Единые нормы и расценки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При этом уровень оплаты труда для ГЭСН,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</w:t>
      </w:r>
      <w:bookmarkStart w:id="1" w:name="_Hlk126840498"/>
      <w:r>
        <w:rPr>
          <w:rFonts w:cs="Times New Roman" w:ascii="Times New Roman" w:hAnsi="Times New Roman"/>
          <w:sz w:val="28"/>
          <w:szCs w:val="28"/>
        </w:rPr>
        <w:t xml:space="preserve"> - ТС 2001), внесенного в ФРСН.</w:t>
      </w:r>
      <w:bookmarkEnd w:id="1"/>
      <w:r>
        <w:rPr>
          <w:rFonts w:cs="Times New Roman" w:ascii="Times New Roman" w:hAnsi="Times New Roman"/>
          <w:sz w:val="28"/>
          <w:szCs w:val="28"/>
        </w:rPr>
        <w:t xml:space="preserve"> Применение сметных норм сборников ГЭСН является приоритетным.</w:t>
      </w:r>
    </w:p>
    <w:p>
      <w:pPr>
        <w:pStyle w:val="ListParagraph"/>
        <w:widowControl w:val="false"/>
        <w:tabs>
          <w:tab w:val="clear" w:pos="709"/>
          <w:tab w:val="left" w:pos="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Нормы накладных расходов и сметной прибыли определять на основании нормативных документов, внесенных в Федеральный реестр сметных нормативов.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1134" w:leader="none"/>
          <w:tab w:val="left" w:pos="2552" w:leader="none"/>
        </w:tabs>
        <w:suppressAutoHyphens w:val="false"/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определении сметной стоимости БИМ применяются индексы изменения сметной стоимости по статьям затрат для соответствующих видов объектов капитального строительства и субъектов Российской Федерации (частей территорий субъектов Российской Федерации), публикуемые Минстроем РФ.</w:t>
      </w:r>
    </w:p>
    <w:p>
      <w:pPr>
        <w:pStyle w:val="ConsPlusNormal1"/>
        <w:widowControl/>
        <w:tabs>
          <w:tab w:val="clear" w:pos="709"/>
          <w:tab w:val="left" w:pos="1134" w:leader="none"/>
          <w:tab w:val="left" w:pos="2552" w:leader="none"/>
        </w:tabs>
        <w:suppressAutoHyphens w:val="false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Для работ, выполняемых в 2026 году применять индексы по состоянию на 2 квартал 2025 года с применением индекса-дефлятора, рассчитанного в соответствии с п.10 настоящих требований.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  <w:tab w:val="left" w:pos="2552" w:leader="none"/>
        </w:tabs>
        <w:suppressAutoHyphens w:val="false"/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Расчет индексов-дефляторов осуществлять на основании актуальных</w:t>
      </w:r>
      <w:r>
        <w:rPr>
          <w:rFonts w:ascii="Times New Roman" w:hAnsi="Times New Roman"/>
          <w:sz w:val="28"/>
          <w:szCs w:val="28"/>
        </w:rPr>
        <w:t xml:space="preserve"> прогнозных среднегодовых индексов-дефляторов (ИПЦ базовый, по строке – Показатель инфляции / в среднем за год) по данным прогноза Министерства экономического развития РФ.  В настоящий момент актуальным является прогноз от 30.04.2025 года: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На 2025 год – 10</w:t>
      </w:r>
      <w:r>
        <w:rPr>
          <w:rFonts w:cs="Arial" w:ascii="Times New Roman" w:hAnsi="Times New Roman"/>
          <w:color w:val="000000"/>
          <w:sz w:val="28"/>
          <w:szCs w:val="28"/>
          <w:lang w:val="en-US"/>
        </w:rPr>
        <w:t>9</w:t>
      </w:r>
      <w:r>
        <w:rPr>
          <w:rFonts w:cs="Arial" w:ascii="Times New Roman" w:hAnsi="Times New Roman"/>
          <w:color w:val="000000"/>
          <w:sz w:val="28"/>
          <w:szCs w:val="28"/>
        </w:rPr>
        <w:t>,</w:t>
      </w:r>
      <w:r>
        <w:rPr>
          <w:rFonts w:cs="Arial" w:ascii="Times New Roman" w:hAnsi="Times New Roman"/>
          <w:color w:val="000000"/>
          <w:sz w:val="28"/>
          <w:szCs w:val="28"/>
          <w:lang w:val="en-US"/>
        </w:rPr>
        <w:t>3%</w:t>
      </w:r>
      <w:r>
        <w:rPr>
          <w:rFonts w:cs="Arial" w:ascii="Times New Roman" w:hAnsi="Times New Roman"/>
          <w:color w:val="000000"/>
          <w:sz w:val="28"/>
          <w:szCs w:val="28"/>
        </w:rPr>
        <w:t>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На 2026 год – 10</w:t>
      </w:r>
      <w:r>
        <w:rPr>
          <w:rFonts w:cs="Arial" w:ascii="Times New Roman" w:hAnsi="Times New Roman"/>
          <w:color w:val="000000"/>
          <w:sz w:val="28"/>
          <w:szCs w:val="28"/>
          <w:lang w:val="en-US"/>
        </w:rPr>
        <w:t>5</w:t>
      </w:r>
      <w:r>
        <w:rPr>
          <w:rFonts w:cs="Arial" w:ascii="Times New Roman" w:hAnsi="Times New Roman"/>
          <w:color w:val="000000"/>
          <w:sz w:val="28"/>
          <w:szCs w:val="28"/>
        </w:rPr>
        <w:t>,</w:t>
      </w:r>
      <w:r>
        <w:rPr>
          <w:rFonts w:cs="Arial" w:ascii="Times New Roman" w:hAnsi="Times New Roman"/>
          <w:color w:val="000000"/>
          <w:sz w:val="28"/>
          <w:szCs w:val="28"/>
          <w:lang w:val="en-US"/>
        </w:rPr>
        <w:t>4</w:t>
      </w:r>
      <w:r>
        <w:rPr>
          <w:rFonts w:cs="Arial" w:ascii="Times New Roman" w:hAnsi="Times New Roman"/>
          <w:color w:val="000000"/>
          <w:sz w:val="28"/>
          <w:szCs w:val="28"/>
        </w:rPr>
        <w:t>%.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firstLine="1134"/>
        <w:jc w:val="both"/>
        <w:rPr/>
      </w:pPr>
      <w:r>
        <w:rPr>
          <w:rFonts w:ascii="Times New Roman" w:hAnsi="Times New Roman"/>
          <w:sz w:val="28"/>
          <w:szCs w:val="28"/>
        </w:rPr>
        <w:t>Показатель индекса-дефлятора на работы, выполняемые в 2026г. рассчитывается следующим образом:</w:t>
      </w:r>
    </w:p>
    <w:p>
      <w:pPr>
        <w:pStyle w:val="ConsPlusNormal1"/>
        <w:ind w:left="2912" w:hanging="0"/>
        <w:jc w:val="both"/>
        <w:rPr/>
      </w:pPr>
      <w:r>
        <w:rPr/>
        <mc:AlternateContent>
          <mc:Choice Requires="wps">
            <w:drawing>
              <wp:inline distT="0" distB="0" distL="0" distR="0" wp14:anchorId="19B07746">
                <wp:extent cx="3072130" cy="334010"/>
                <wp:effectExtent l="0" t="0" r="0" b="0"/>
                <wp:docPr id="1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Иинфмес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2025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1.093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1,0074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26.35pt;width:241.85pt;height:26.25pt;mso-wrap-style:square;v-text-anchor:top;mso-position-vertical:top" wp14:anchorId="19B07746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Иинфмес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2025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1.093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1,0074</m:t>
                        </m:r>
                      </m:oMath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nsPlusNormal1"/>
        <w:ind w:left="2912" w:hanging="0"/>
        <w:jc w:val="both"/>
        <w:rPr/>
      </w:pPr>
      <w:r>
        <w:rPr/>
        <mc:AlternateContent>
          <mc:Choice Requires="wps">
            <w:drawing>
              <wp:inline distT="0" distB="0" distL="0" distR="0" wp14:anchorId="24602433">
                <wp:extent cx="3072130" cy="334010"/>
                <wp:effectExtent l="0" t="0" r="0" b="0"/>
                <wp:docPr id="3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Иинфмес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2026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1.054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1,0044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26.35pt;width:241.85pt;height:26.25pt;mso-wrap-style:square;v-text-anchor:top;mso-position-vertical:top" wp14:anchorId="24602433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Иинфмес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2026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1.054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1,0044</m:t>
                        </m:r>
                      </m:oMath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nsPlusNormal1"/>
        <w:ind w:left="851" w:hanging="0"/>
        <w:jc w:val="center"/>
        <w:rPr/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Иинфлпер</m:t>
          </m:r>
          <m:r>
            <w:rPr>
              <w:rFonts w:ascii="Cambria Math" w:hAnsi="Cambria Math"/>
            </w:rPr>
            <m:t xml:space="preserve">2026</m:t>
          </m:r>
          <m:r>
            <w:rPr>
              <w:rFonts w:ascii="Cambria Math" w:hAnsi="Cambria Math"/>
            </w:rPr>
            <m:t xml:space="preserve">=</m:t>
          </m:r>
          <m:sSup>
            <m:e>
              <m:r>
                <w:rPr>
                  <w:rFonts w:ascii="Cambria Math" w:hAnsi="Cambria Math"/>
                </w:rPr>
                <m:t xml:space="preserve">1,0074</m:t>
              </m:r>
            </m:e>
            <m:sup>
              <m:r>
                <w:rPr>
                  <w:rFonts w:ascii="Cambria Math" w:hAnsi="Cambria Math"/>
                </w:rPr>
                <m:t xml:space="preserve">6</m:t>
              </m:r>
            </m:sup>
          </m:sSup>
          <m:r>
            <w:rPr>
              <w:rFonts w:ascii="Cambria Math" w:hAnsi="Cambria Math"/>
            </w:rPr>
            <m:t xml:space="preserve">х</m:t>
          </m:r>
          <m:d>
            <m:dPr>
              <m:begChr m:val="("/>
              <m:endChr m:val=")"/>
            </m:dPr>
            <m:e>
              <m:f>
                <m:num>
                  <m:r>
                    <w:rPr>
                      <w:rFonts w:ascii="Cambria Math" w:hAnsi="Cambria Math"/>
                    </w:rPr>
                    <m:t xml:space="preserve">1,0044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1,054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2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1,0757</m:t>
          </m:r>
        </m:oMath>
      </m:oMathPara>
    </w:p>
    <w:p>
      <w:pPr>
        <w:pStyle w:val="ConsPlusNormal1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widowControl/>
        <w:tabs>
          <w:tab w:val="clear" w:pos="709"/>
          <w:tab w:val="left" w:pos="1134" w:leader="none"/>
        </w:tabs>
        <w:suppressAutoHyphens w:val="false"/>
        <w:ind w:hanging="0"/>
        <w:jc w:val="both"/>
        <w:rPr/>
      </w:pPr>
      <w:r>
        <w:rPr/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suppressAutoHyphens w:val="false"/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Стоимость материально-технических ресурсов (далее–МТР), не учтенных в расценках, определять по сборнику ФССЦ, сметно-нормативной базы «ГЭСН-2020, ФЕР-2020 (с Изм. 1-9)». Номенклатура принимаемых по сборнику МТР должна строго соответствовать номенклатуре, определенной ведомостью объемов работ, «применительно» использование расценок сборника не допускается. </w:t>
      </w:r>
    </w:p>
    <w:p>
      <w:pPr>
        <w:pStyle w:val="Normal"/>
        <w:shd w:val="clear" w:color="auto" w:fill="FFFFFF"/>
        <w:tabs>
          <w:tab w:val="clear" w:pos="709"/>
          <w:tab w:val="left" w:pos="1134" w:leader="none"/>
        </w:tabs>
        <w:suppressAutoHyphens w:val="false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При отсутствии необходимой номенклатуры МТР в сборнике ФССЦ, сметные цены на такие МТР определяются в уровне цен составления сметной документации на основании данных о сметных ценах в текущем уровне цен, размещенных в ФГИС ЦС с индексами изменения сметной стоимости к группе однородных строительных ресурсов, информация о которых размещена в ФГИС ЦС, для субъекта Российской Федерации в котором расположен филиал ПАО «РусГидро». Уровень цен на МТР определяемых по ФГИС ЦС принимается аналогично указаниям в п.9 настоящих Требований. При этом в наименовании ресурса необходимо указать код ресурса </w:t>
      </w:r>
      <w:r>
        <w:rPr>
          <w:rFonts w:ascii="Times New Roman" w:hAnsi="Times New Roman"/>
          <w:i/>
          <w:sz w:val="28"/>
          <w:szCs w:val="28"/>
        </w:rPr>
        <w:t>(«Паронит марки ПЭ, толщина от 0,5 до 4 мм» (ФГИС 01.1.02.08-1051</w:t>
      </w:r>
      <w:r>
        <w:rPr>
          <w:rFonts w:ascii="Times New Roman" w:hAnsi="Times New Roman"/>
          <w:sz w:val="28"/>
          <w:szCs w:val="28"/>
        </w:rPr>
        <w:t>), стоимость указывать в формате произведения сметной стоимости и индекса к группе однородных строительных ресурсов (</w:t>
      </w:r>
      <w:r>
        <w:rPr>
          <w:rFonts w:ascii="Times New Roman" w:hAnsi="Times New Roman"/>
          <w:i/>
          <w:sz w:val="28"/>
          <w:szCs w:val="28"/>
        </w:rPr>
        <w:t>173.96*0.99</w:t>
      </w:r>
      <w:r>
        <w:rPr>
          <w:rFonts w:ascii="Times New Roman" w:hAnsi="Times New Roman"/>
          <w:sz w:val="28"/>
          <w:szCs w:val="28"/>
        </w:rPr>
        <w:t>). </w:t>
      </w:r>
    </w:p>
    <w:p>
      <w:pPr>
        <w:pStyle w:val="ConsPlusNormal1"/>
        <w:widowControl/>
        <w:tabs>
          <w:tab w:val="clear" w:pos="709"/>
          <w:tab w:val="left" w:pos="1134" w:leader="none"/>
        </w:tabs>
        <w:suppressAutoHyphens w:val="false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При отсутствии возможности определения стоимости МТР по сборникам ФССЦ и данным ФГИС ЦС, допускается определять стоимость как среднерыночную по региону расположения Филиала ПАО «РусГидро», при этом среднерыночная цена формируется Методом анализа ТКП в соответствии с Приложением №3 к Требованиям к оформлению и составлению сметной документации на выполнение работ по программе ремонтов. </w:t>
      </w:r>
    </w:p>
    <w:p>
      <w:pPr>
        <w:pStyle w:val="ConsPlusNormal1"/>
        <w:widowControl/>
        <w:tabs>
          <w:tab w:val="clear" w:pos="709"/>
          <w:tab w:val="left" w:pos="1134" w:leader="none"/>
        </w:tabs>
        <w:suppressAutoHyphens w:val="false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сметах в графе «обоснование» указывать шифр согласно справочнику ТМЦ ЕСУ НСИ (при этом наименование МТР корректировке не подлежит), во вкладке «Дополнительная информация. Примечания» ПК «Гранд-смета» указывать номер позиции согласно Общему расчету плановой цены (Приложение №3). </w:t>
      </w:r>
    </w:p>
    <w:p>
      <w:pPr>
        <w:pStyle w:val="ConsPlusNormal1"/>
        <w:widowControl/>
        <w:tabs>
          <w:tab w:val="clear" w:pos="709"/>
          <w:tab w:val="left" w:pos="1134" w:leader="none"/>
        </w:tabs>
        <w:suppressAutoHyphens w:val="false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1134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.1 </w:t>
      </w:r>
      <w:r>
        <w:rPr>
          <w:rFonts w:ascii="Times New Roman" w:hAnsi="Times New Roman"/>
          <w:b/>
          <w:color w:val="000000"/>
          <w:sz w:val="28"/>
          <w:szCs w:val="28"/>
        </w:rPr>
        <w:t>по доставке материальных ресурсов: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в размере до 3-х процентов от отпускной цены материальных ресурсов с учетом заготовительно-складских расходов (по решению Заказчика);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9"/>
          <w:tab w:val="left" w:pos="284" w:leader="none"/>
        </w:tabs>
        <w:ind w:left="567" w:firstLine="567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методом анализа ТКП, </w:t>
      </w:r>
      <w:r>
        <w:rPr>
          <w:rFonts w:cs="Times New Roman" w:ascii="Times New Roman" w:hAnsi="Times New Roman"/>
          <w:sz w:val="28"/>
          <w:szCs w:val="28"/>
        </w:rPr>
        <w:t>по среднерыночной стоимости</w:t>
      </w:r>
      <w:r>
        <w:rPr>
          <w:rFonts w:ascii="Times New Roman" w:hAnsi="Times New Roman"/>
          <w:color w:val="000000"/>
          <w:sz w:val="28"/>
          <w:szCs w:val="28"/>
        </w:rPr>
        <w:t>, в соответствии с Приложением №3 к настоящим Требованиям;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1134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.2 </w:t>
      </w:r>
      <w:r>
        <w:rPr>
          <w:rFonts w:ascii="Times New Roman" w:hAnsi="Times New Roman"/>
          <w:b/>
          <w:color w:val="000000"/>
          <w:sz w:val="28"/>
          <w:szCs w:val="28"/>
        </w:rPr>
        <w:t>по доставке оборудования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в размере до 3-х процентов от отпускной цены оборудования (по решению Заказчика);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методом анализа ТКП, по среднерыночной стоимости, в соответствии с Приложением №3 к настоящим Требованиям;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Если транспортировка осуществляется Заказчиком самостоятельно (самовывоз), данные расходы в сметной документации дополнительно не учитываются. 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2% -для материальных ресурсов (кроме металлоконструкций);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0,75%- для металлоконструкций;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1,2% - для оборудования.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Затраты на эксплуатацию строительной техники, не учтенной нормами и расценками, включенными в ФРСН, определяются Методом анализа ТКП, по среднерыночной стоимости в соответствии с Приложением №3 и включаются в Главу 9 ССР.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  <w:tab w:val="left" w:pos="2552" w:leader="none"/>
        </w:tabs>
        <w:suppressAutoHyphens w:val="false"/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8"/>
          <w:szCs w:val="28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Поправочные коэффициенты из технической части к расценкам (например, на демонтаж или</w:t>
      </w:r>
      <w:r>
        <w:rPr>
          <w:rFonts w:ascii="Times New Roman" w:hAnsi="Times New Roman"/>
          <w:color w:val="000000"/>
          <w:sz w:val="28"/>
          <w:szCs w:val="28"/>
        </w:rPr>
        <w:t xml:space="preserve">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Резерв средств на непредвиденные работы и затраты определять в Технических требованиях и начислять в ССР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40" w:after="4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 xml:space="preserve">Сметная документация на непредвиденные работы и затраты составляется на основании ведомостей объемов работ либо иной технической документации.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40" w:after="4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Стоимость работ на непредвиденные работы и затраты определяется в соответствии с указаниями в пп.9-10 настоящих требований.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В ЛСР (ЛС) указывать величину сметной прибыли по видам строительных, ремонтно- 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работ по программе ремонтов).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6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суточные - 700 руб./сутки;</w:t>
      </w:r>
    </w:p>
    <w:p>
      <w:pPr>
        <w:pStyle w:val="ConsPlusNormal1"/>
        <w:numPr>
          <w:ilvl w:val="0"/>
          <w:numId w:val="6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проживание – 500 руб./сутки;</w:t>
      </w:r>
    </w:p>
    <w:p>
      <w:pPr>
        <w:pStyle w:val="ConsPlusNormal1"/>
        <w:numPr>
          <w:ilvl w:val="0"/>
          <w:numId w:val="6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tabs>
          <w:tab w:val="clear" w:pos="709"/>
          <w:tab w:val="left" w:pos="284" w:leader="none"/>
          <w:tab w:val="left" w:pos="1134" w:leader="none"/>
        </w:tabs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учете командировочных расходов стоимость проезда (авиа-, ж/д, …) и проживания определяется по среднерыночной стоимости, Методом анализа ТКП в соответствии с Приложением №3 к настоящим требованиям.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ConsPlusNormal1"/>
        <w:widowControl/>
        <w:numPr>
          <w:ilvl w:val="1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</w:t>
      </w:r>
      <w:r>
        <w:rPr>
          <w:rFonts w:cs="Times New Roman" w:ascii="Times New Roman" w:hAnsi="Times New Roman"/>
          <w:color w:val="000000"/>
          <w:sz w:val="28"/>
          <w:szCs w:val="28"/>
        </w:rPr>
        <w:t>сметной</w:t>
      </w:r>
      <w:r>
        <w:rPr>
          <w:rFonts w:cs="Times New Roman" w:ascii="Times New Roman" w:hAnsi="Times New Roman"/>
          <w:sz w:val="28"/>
          <w:szCs w:val="28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>
      <w:pPr>
        <w:pStyle w:val="ConsPlusNormal1"/>
        <w:widowControl/>
        <w:numPr>
          <w:ilvl w:val="1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7"/>
        </w:numPr>
        <w:tabs>
          <w:tab w:val="clear" w:pos="709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По предоставляемым грузоподъемным механизмам, учтенным в составе сметных норм и расценок:</w:t>
      </w:r>
    </w:p>
    <w:p>
      <w:pPr>
        <w:pStyle w:val="ConsPlusNormal1"/>
        <w:numPr>
          <w:ilvl w:val="0"/>
          <w:numId w:val="6"/>
        </w:numPr>
        <w:tabs>
          <w:tab w:val="left" w:pos="284" w:leader="none"/>
          <w:tab w:val="left" w:pos="709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Исключать из норм и расценок предоставляемые грузоподъемные механизмы. </w:t>
      </w:r>
    </w:p>
    <w:p>
      <w:pPr>
        <w:pStyle w:val="ConsPlusNormal1"/>
        <w:widowControl/>
        <w:tabs>
          <w:tab w:val="left" w:pos="0" w:leader="none"/>
          <w:tab w:val="left" w:pos="709" w:leader="none"/>
          <w:tab w:val="left" w:pos="851" w:leader="none"/>
          <w:tab w:val="left" w:pos="1418" w:leader="none"/>
          <w:tab w:val="left" w:pos="1701" w:leader="none"/>
        </w:tabs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>
      <w:pPr>
        <w:pStyle w:val="ConsPlusNormal1"/>
        <w:widowControl/>
        <w:numPr>
          <w:ilvl w:val="2"/>
          <w:numId w:val="7"/>
        </w:numPr>
        <w:tabs>
          <w:tab w:val="left" w:pos="709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По предоставляемой электроэнергии (в том числе, в составе стоимости машино-часа):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567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Рассчитанная сумма возврата стоимости электрической энергии учитывается в смете на СМР, со знаком «–». 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7"/>
        </w:numPr>
        <w:tabs>
          <w:tab w:val="clear" w:pos="709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По предоставляемому сжатому воздуху: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2"/>
          <w:numId w:val="7"/>
        </w:numPr>
        <w:tabs>
          <w:tab w:val="clear" w:pos="709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По предоставляемой воде: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Из норм и расценок исключать стоимость воды.</w:t>
      </w:r>
    </w:p>
    <w:p>
      <w:pPr>
        <w:pStyle w:val="ConsPlusNormal1"/>
        <w:widowControl/>
        <w:numPr>
          <w:ilvl w:val="2"/>
          <w:numId w:val="7"/>
        </w:numPr>
        <w:tabs>
          <w:tab w:val="left" w:pos="709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Учтенные в составе накладных расходов: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содержание пожарной и сторожевой охраны (удельный вес статьи затрат в накладных расходах - 2,01%);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расходы по благоустройству и содержанию строительных площадок (удельный вес статьи затрат в накладных расходах – 1,61%)</w:t>
      </w:r>
    </w:p>
    <w:p>
      <w:pPr>
        <w:pStyle w:val="Normal"/>
        <w:tabs>
          <w:tab w:val="left" w:pos="0" w:leader="none"/>
          <w:tab w:val="left" w:pos="709" w:leader="none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выполнении работ Заказчиком, например, по химическому анализу турбинных масел и осушению проточной части гидроагрегата, стоимость указанных работ не включать в ведомости объемов работ и цену договора подряда.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ССР составляется при наличии двух и более смет. Обязательными приложениями к ССР являются локальные сметы (по образцу в соответствии с Приложением №1.2 к Требованиям к оформлению и составлению сметной документации на выполнение </w:t>
      </w:r>
      <w:r>
        <w:rPr>
          <w:rFonts w:cs="Times New Roman" w:ascii="Times New Roman" w:hAnsi="Times New Roman"/>
          <w:color w:val="000000"/>
          <w:sz w:val="28"/>
          <w:szCs w:val="28"/>
        </w:rPr>
        <w:t>работ по программе ремонтов)</w:t>
      </w:r>
      <w:r>
        <w:rPr>
          <w:rFonts w:cs="Times New Roman" w:ascii="Times New Roman" w:hAnsi="Times New Roman"/>
          <w:sz w:val="28"/>
          <w:szCs w:val="28"/>
        </w:rPr>
        <w:t xml:space="preserve">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Формат ССР выполнять по Образцам Приложения №№ 1.1 к Требованиям к оформлению и составлению сметной документации на выполнение </w:t>
      </w:r>
      <w:r>
        <w:rPr>
          <w:rFonts w:cs="Times New Roman" w:ascii="Times New Roman" w:hAnsi="Times New Roman"/>
          <w:color w:val="000000"/>
          <w:sz w:val="28"/>
          <w:szCs w:val="28"/>
        </w:rPr>
        <w:t>работ по программе ремонтов.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Выходные формы сметных расчетов должны соответствовать выходным шаблонам ПК «Гранд-Смета» «ЛСР по методике 2020 (БИМ)». </w:t>
      </w:r>
    </w:p>
    <w:p>
      <w:pPr>
        <w:sectPr>
          <w:footerReference w:type="default" r:id="rId2"/>
          <w:footnotePr>
            <w:numFmt w:val="decimal"/>
            <w:numRestart w:val="eachPage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Сметная </w:t>
      </w:r>
      <w:r>
        <w:rPr>
          <w:rFonts w:cs="Times New Roman" w:ascii="Times New Roman" w:hAnsi="Times New Roman"/>
          <w:sz w:val="28"/>
          <w:szCs w:val="28"/>
        </w:rPr>
        <w:t>документация должна быть представлена на электронном носителе (в формате «xml» ПК «Гранд-Смета», «Excel», «pdf»).</w:t>
      </w:r>
    </w:p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</w:t>
      </w:r>
      <w:r>
        <w:rPr>
          <w:rFonts w:cs="Times New Roman" w:ascii="Times New Roman" w:hAnsi="Times New Roman"/>
        </w:rPr>
        <w:t>Приложение № 1.1</w:t>
      </w:r>
    </w:p>
    <w:p>
      <w:pPr>
        <w:pStyle w:val="ConsPlusNormal1"/>
        <w:ind w:left="57" w:firstLine="7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ОБРАЗЕЦ </w:t>
      </w:r>
      <w:r>
        <w:rPr>
          <w:rFonts w:cs="Times New Roman" w:ascii="Times New Roman" w:hAnsi="Times New Roman"/>
        </w:rPr>
        <w:t xml:space="preserve">                                                                               Требованиям к оформлению и составлению сметной документации на выполнение работ по программе ремонтов</w:t>
      </w:r>
    </w:p>
    <w:p>
      <w:pPr>
        <w:pStyle w:val="ConsPlusNormal1"/>
        <w:ind w:left="5811" w:firstLine="72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tbl>
      <w:tblPr>
        <w:tblpPr w:bottomFromText="0" w:horzAnchor="margin" w:leftFromText="180" w:rightFromText="180" w:tblpX="0" w:tblpXSpec="right" w:tblpY="1066" w:topFromText="0" w:vertAnchor="page"/>
        <w:tblW w:w="15105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27"/>
        <w:gridCol w:w="1823"/>
        <w:gridCol w:w="4592"/>
        <w:gridCol w:w="1711"/>
        <w:gridCol w:w="47"/>
        <w:gridCol w:w="1601"/>
        <w:gridCol w:w="1976"/>
        <w:gridCol w:w="772"/>
        <w:gridCol w:w="423"/>
        <w:gridCol w:w="6"/>
        <w:gridCol w:w="1391"/>
        <w:gridCol w:w="234"/>
      </w:tblGrid>
      <w:tr>
        <w:trPr>
          <w:trHeight w:val="300" w:hRule="atLeast"/>
        </w:trPr>
        <w:tc>
          <w:tcPr>
            <w:tcW w:w="15103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539"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pacing w:lineRule="auto" w:line="240" w:before="0" w:after="0"/>
              <w:ind w:left="1539"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к договору №________от______</w:t>
            </w:r>
          </w:p>
        </w:tc>
      </w:tr>
      <w:tr>
        <w:trPr>
          <w:trHeight w:val="300" w:hRule="atLeast"/>
        </w:trPr>
        <w:tc>
          <w:tcPr>
            <w:tcW w:w="235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45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  <w:tc>
          <w:tcPr>
            <w:tcW w:w="119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69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________________(Подрядчик)</w:t>
            </w:r>
          </w:p>
        </w:tc>
        <w:tc>
          <w:tcPr>
            <w:tcW w:w="17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0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_________________(Заказчик)</w:t>
            </w:r>
          </w:p>
        </w:tc>
      </w:tr>
      <w:tr>
        <w:trPr>
          <w:trHeight w:val="300" w:hRule="atLeast"/>
        </w:trPr>
        <w:tc>
          <w:tcPr>
            <w:tcW w:w="69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 И.О.Ф.</w:t>
            </w:r>
          </w:p>
        </w:tc>
        <w:tc>
          <w:tcPr>
            <w:tcW w:w="17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0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_________________И.О.Ф. </w:t>
            </w:r>
          </w:p>
        </w:tc>
      </w:tr>
      <w:tr>
        <w:trPr>
          <w:trHeight w:val="300" w:hRule="atLeast"/>
        </w:trPr>
        <w:tc>
          <w:tcPr>
            <w:tcW w:w="69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177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2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527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3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624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Сводный сметный расчет в сумме:</w:t>
            </w:r>
          </w:p>
        </w:tc>
        <w:tc>
          <w:tcPr>
            <w:tcW w:w="77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2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27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3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28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625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3" w:hRule="atLeast"/>
        </w:trPr>
        <w:tc>
          <w:tcPr>
            <w:tcW w:w="15103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«_________________________________». Филиал ПАО «РусГидро»…….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527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3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19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27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750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1195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пп</w:t>
            </w:r>
          </w:p>
        </w:tc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Номера локальных сметных расчетов</w:t>
            </w:r>
          </w:p>
        </w:tc>
        <w:tc>
          <w:tcPr>
            <w:tcW w:w="4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глав, объектов, работ и затрат</w:t>
            </w:r>
          </w:p>
        </w:tc>
        <w:tc>
          <w:tcPr>
            <w:tcW w:w="6536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Сметная стоимость, руб.</w:t>
            </w:r>
          </w:p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сметная стоимость, руб.</w:t>
            </w:r>
          </w:p>
        </w:tc>
      </w:tr>
      <w:tr>
        <w:trPr>
          <w:trHeight w:val="481" w:hRule="atLeast"/>
        </w:trPr>
        <w:tc>
          <w:tcPr>
            <w:tcW w:w="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строительных работ</w:t>
            </w: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монтажных работ</w:t>
            </w: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оборудования, мебели, инвентаря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прочих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51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Работы выполняемые в 2026 году</w:t>
            </w:r>
          </w:p>
        </w:tc>
      </w:tr>
      <w:tr>
        <w:trPr>
          <w:trHeight w:val="249" w:hRule="atLeast"/>
        </w:trPr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74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Главе 2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8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Главам 2-9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103"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74" w:hRule="atLeast"/>
        </w:trPr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по сводному расчету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103"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74" w:hRule="atLeast"/>
        </w:trPr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работ 2026 г., руб.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</w:tbl>
    <w:tbl>
      <w:tblPr>
        <w:tblW w:w="15059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5059"/>
      </w:tblGrid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1668"/>
        <w:gridCol w:w="221"/>
        <w:gridCol w:w="3264"/>
        <w:gridCol w:w="452"/>
        <w:gridCol w:w="1207"/>
        <w:gridCol w:w="1843"/>
        <w:gridCol w:w="248"/>
        <w:gridCol w:w="1738"/>
        <w:gridCol w:w="256"/>
        <w:gridCol w:w="755"/>
        <w:gridCol w:w="1259"/>
        <w:gridCol w:w="19"/>
        <w:gridCol w:w="1093"/>
        <w:gridCol w:w="716"/>
        <w:gridCol w:w="736"/>
      </w:tblGrid>
      <w:tr>
        <w:trPr>
          <w:trHeight w:val="78" w:hRule="atLeast"/>
        </w:trPr>
        <w:tc>
          <w:tcPr>
            <w:tcW w:w="261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1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78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2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55" w:type="dxa"/>
            <w:gridSpan w:val="1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7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74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7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7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8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5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8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5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70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8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tbl>
      <w:tblPr>
        <w:tblW w:w="15059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5059"/>
      </w:tblGrid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br w:type="page"/>
      </w:r>
    </w:p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1.2</w:t>
      </w:r>
    </w:p>
    <w:p>
      <w:pPr>
        <w:pStyle w:val="Normal"/>
        <w:tabs>
          <w:tab w:val="clear" w:pos="709"/>
          <w:tab w:val="left" w:pos="900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к Требованиям к оформлению и составлению </w:t>
      </w:r>
    </w:p>
    <w:p>
      <w:pPr>
        <w:pStyle w:val="Normal"/>
        <w:tabs>
          <w:tab w:val="clear" w:pos="709"/>
          <w:tab w:val="left" w:pos="900" w:leader="none"/>
        </w:tabs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сметной документации на выполнение работ по программе ремонтов</w:t>
      </w:r>
    </w:p>
    <w:tbl>
      <w:tblPr>
        <w:tblW w:w="1601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89"/>
        <w:gridCol w:w="168"/>
        <w:gridCol w:w="1467"/>
        <w:gridCol w:w="727"/>
        <w:gridCol w:w="93"/>
        <w:gridCol w:w="1510"/>
        <w:gridCol w:w="133"/>
        <w:gridCol w:w="956"/>
        <w:gridCol w:w="1118"/>
        <w:gridCol w:w="463"/>
        <w:gridCol w:w="516"/>
        <w:gridCol w:w="463"/>
        <w:gridCol w:w="378"/>
        <w:gridCol w:w="632"/>
        <w:gridCol w:w="231"/>
        <w:gridCol w:w="114"/>
        <w:gridCol w:w="477"/>
        <w:gridCol w:w="453"/>
        <w:gridCol w:w="516"/>
        <w:gridCol w:w="107"/>
        <w:gridCol w:w="170"/>
        <w:gridCol w:w="807"/>
        <w:gridCol w:w="170"/>
        <w:gridCol w:w="810"/>
        <w:gridCol w:w="170"/>
        <w:gridCol w:w="106"/>
        <w:gridCol w:w="424"/>
        <w:gridCol w:w="170"/>
        <w:gridCol w:w="943"/>
        <w:gridCol w:w="162"/>
        <w:gridCol w:w="237"/>
        <w:gridCol w:w="236"/>
      </w:tblGrid>
      <w:tr>
        <w:trPr>
          <w:trHeight w:val="285" w:hRule="atLeast"/>
        </w:trPr>
        <w:tc>
          <w:tcPr>
            <w:tcW w:w="345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СОГЛАСОВАНО:</w:t>
            </w:r>
          </w:p>
        </w:tc>
        <w:tc>
          <w:tcPr>
            <w:tcW w:w="1603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039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УТВЕРЖДАЮ: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03" w:hRule="atLeast"/>
        </w:trPr>
        <w:tc>
          <w:tcPr>
            <w:tcW w:w="272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"_____" _____________20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__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82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7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3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-248" w:firstLine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"_"____" _______20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___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399" w:type="dxa"/>
            <w:gridSpan w:val="2"/>
            <w:tcBorders/>
          </w:tcPr>
          <w:p>
            <w:pPr>
              <w:pStyle w:val="Normal"/>
              <w:widowControl w:val="false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544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программного продукта</w:t>
            </w:r>
          </w:p>
        </w:tc>
        <w:tc>
          <w:tcPr>
            <w:tcW w:w="259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ПК "ГРАНД-Смета 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1"</w:t>
            </w:r>
          </w:p>
        </w:tc>
        <w:tc>
          <w:tcPr>
            <w:tcW w:w="111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3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65" w:hRule="exac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5780" w:type="dxa"/>
            <w:gridSpan w:val="3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(наименование стройки)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exact"/>
        </w:trPr>
        <w:tc>
          <w:tcPr>
            <w:tcW w:w="15780" w:type="dxa"/>
            <w:gridSpan w:val="3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5780" w:type="dxa"/>
            <w:gridSpan w:val="3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(наименование объекта капитального строительства)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81" w:hRule="atLeast"/>
        </w:trPr>
        <w:tc>
          <w:tcPr>
            <w:tcW w:w="15780" w:type="dxa"/>
            <w:gridSpan w:val="3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ЛОКАЛЬНЫЙ СМЕТНЫЙ РАСЧЕТ (СМЕТА) № 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6" w:hRule="atLeast"/>
        </w:trPr>
        <w:tc>
          <w:tcPr>
            <w:tcW w:w="15780" w:type="dxa"/>
            <w:gridSpan w:val="31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5780" w:type="dxa"/>
            <w:gridSpan w:val="3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(наименование конструктивного решения)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Составлен </w:t>
            </w:r>
          </w:p>
        </w:tc>
        <w:tc>
          <w:tcPr>
            <w:tcW w:w="1635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базисно-индексным</w:t>
            </w:r>
          </w:p>
        </w:tc>
        <w:tc>
          <w:tcPr>
            <w:tcW w:w="82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методом</w:t>
            </w:r>
          </w:p>
        </w:tc>
        <w:tc>
          <w:tcPr>
            <w:tcW w:w="164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2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Основание</w:t>
            </w:r>
          </w:p>
        </w:tc>
        <w:tc>
          <w:tcPr>
            <w:tcW w:w="6467" w:type="dxa"/>
            <w:gridSpan w:val="8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7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172" w:type="dxa"/>
            <w:gridSpan w:val="8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(проектная и (или) иная техническая документация)</w:t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544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Составлен(а) в текущем (базисном) уровне цен </w:t>
            </w:r>
          </w:p>
        </w:tc>
        <w:tc>
          <w:tcPr>
            <w:tcW w:w="259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соответствующих периоду выполнения работ по договору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272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Сметная стоимость 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2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строительных работ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4350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на оплату труда рабочих</w:t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монтажных работ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4350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Нормативные затраты труда рабочих</w:t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чел.час.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4350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Нормативные затраты труда машинистов</w:t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чел.час.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прочих затрат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327" w:type="dxa"/>
            <w:gridSpan w:val="1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Расчетный измеритель конструктивного решения  </w:t>
            </w:r>
          </w:p>
        </w:tc>
        <w:tc>
          <w:tcPr>
            <w:tcW w:w="16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95" w:hRule="exact"/>
        </w:trPr>
        <w:tc>
          <w:tcPr>
            <w:tcW w:w="108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20" w:hRule="atLeast"/>
        </w:trPr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6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Обоснование</w:t>
            </w:r>
          </w:p>
        </w:tc>
        <w:tc>
          <w:tcPr>
            <w:tcW w:w="341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79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51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Индексы</w:t>
            </w:r>
          </w:p>
        </w:tc>
        <w:tc>
          <w:tcPr>
            <w:tcW w:w="151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Сметная стоимость в текущем уровне цен, руб.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10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419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797" w:type="dxa"/>
            <w:gridSpan w:val="7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51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10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419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ед</w:t>
            </w:r>
          </w:p>
        </w:tc>
        <w:tc>
          <w:tcPr>
            <w:tcW w:w="8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</w:t>
            </w:r>
          </w:p>
        </w:tc>
        <w:tc>
          <w:tcPr>
            <w:tcW w:w="97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 с учетом коэф</w:t>
            </w:r>
          </w:p>
        </w:tc>
        <w:tc>
          <w:tcPr>
            <w:tcW w:w="155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ед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97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коэффициенты</w:t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0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7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2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footerReference w:type="default" r:id="rId3"/>
          <w:footerReference w:type="first" r:id="rId4"/>
          <w:footnotePr>
            <w:numFmt w:val="decimal"/>
            <w:numRestart w:val="eachPage"/>
          </w:footnotePr>
          <w:type w:val="nextPage"/>
          <w:pgSz w:orient="landscape" w:w="16838" w:h="11906"/>
          <w:pgMar w:left="709" w:right="284" w:gutter="0" w:header="0" w:top="425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ind w:left="3686" w:hanging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Требованиям к оформлению и составлению сметной документации </w:t>
      </w:r>
      <w:r>
        <w:rPr>
          <w:rFonts w:ascii="Times New Roman" w:hAnsi="Times New Roman"/>
          <w:color w:val="000000"/>
          <w:sz w:val="24"/>
          <w:szCs w:val="24"/>
        </w:rPr>
        <w:t>на выполнение работ по программе ремонтов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2.1.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sz w:val="28"/>
          <w:szCs w:val="28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sz w:val="28"/>
          <w:szCs w:val="28"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sz w:val="28"/>
          <w:szCs w:val="28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Лимиты командировочных расходов: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суточные - 700 руб./сутки;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проживание - до 5000 руб./сутки;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  <w:sz w:val="28"/>
          <w:szCs w:val="28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sz w:val="28"/>
          <w:szCs w:val="28"/>
          <w:lang w:eastAsia="en-US"/>
        </w:rPr>
        <w:t>).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  <w:sz w:val="28"/>
          <w:szCs w:val="28"/>
        </w:rPr>
        <w:t xml:space="preserve">Методом анализа ТКП в соответствии с Приложением №3 к </w:t>
      </w:r>
      <w:r>
        <w:rPr>
          <w:rFonts w:ascii="Times New Roman" w:hAnsi="Times New Roman"/>
          <w:color w:val="000000"/>
          <w:sz w:val="28"/>
          <w:szCs w:val="28"/>
        </w:rPr>
        <w:t>настоящим требованиям.</w:t>
      </w:r>
    </w:p>
    <w:p>
      <w:pPr>
        <w:sectPr>
          <w:footerReference w:type="default" r:id="rId5"/>
          <w:footerReference w:type="first" r:id="rId6"/>
          <w:footnotePr>
            <w:numFmt w:val="decimal"/>
            <w:numRestart w:val="eachPage"/>
          </w:footnotePr>
          <w:type w:val="nextPage"/>
          <w:pgSz w:w="11906" w:h="16838"/>
          <w:pgMar w:left="993" w:right="924" w:gutter="0" w:header="0" w:top="568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3969" w:hanging="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</w:p>
    <w:p>
      <w:pPr>
        <w:pStyle w:val="Normal"/>
        <w:spacing w:lineRule="auto" w:line="240" w:before="0" w:after="0"/>
        <w:ind w:left="3969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  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(Образец)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СПРАВКА от__________ (указать дату составления справки)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(Главный бухгалтер)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footerReference w:type="default" r:id="rId7"/>
          <w:footerReference w:type="first" r:id="rId8"/>
          <w:footnotePr>
            <w:numFmt w:val="decimal"/>
            <w:numRestart w:val="eachPage"/>
          </w:footnotePr>
          <w:type w:val="nextPage"/>
          <w:pgSz w:w="11906" w:h="16838"/>
          <w:pgMar w:left="1701" w:right="850" w:gutter="0" w:header="0" w:top="0" w:footer="708" w:bottom="993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 по заполнению формы 3П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командировочных расходов</w:t>
      </w:r>
    </w:p>
    <w:tbl>
      <w:tblPr>
        <w:tblW w:w="1503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82"/>
        <w:gridCol w:w="1554"/>
        <w:gridCol w:w="1658"/>
        <w:gridCol w:w="1889"/>
        <w:gridCol w:w="2399"/>
        <w:gridCol w:w="1257"/>
        <w:gridCol w:w="2269"/>
        <w:gridCol w:w="2263"/>
        <w:gridCol w:w="1265"/>
      </w:tblGrid>
      <w:tr>
        <w:trPr>
          <w:trHeight w:val="644" w:hRule="atLeast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5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Пункт назначения</w:t>
            </w:r>
          </w:p>
        </w:tc>
        <w:tc>
          <w:tcPr>
            <w:tcW w:w="16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специалистов</w:t>
            </w:r>
          </w:p>
        </w:tc>
        <w:tc>
          <w:tcPr>
            <w:tcW w:w="18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Проезд к месту командировки (туда и обратно)</w:t>
            </w:r>
          </w:p>
        </w:tc>
        <w:tc>
          <w:tcPr>
            <w:tcW w:w="23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чел/сутки.</w:t>
            </w:r>
          </w:p>
        </w:tc>
        <w:tc>
          <w:tcPr>
            <w:tcW w:w="12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сутки/руб.</w:t>
            </w:r>
          </w:p>
        </w:tc>
        <w:tc>
          <w:tcPr>
            <w:tcW w:w="226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Продолжительность командировки, сутки</w:t>
            </w:r>
          </w:p>
        </w:tc>
        <w:tc>
          <w:tcPr>
            <w:tcW w:w="22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Продолжительность проживания в гостинице, сутки</w:t>
            </w:r>
          </w:p>
        </w:tc>
        <w:tc>
          <w:tcPr>
            <w:tcW w:w="12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затрат, рубли</w:t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69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сметному расчету</w:t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организации ________________________________________________________________________________</w:t>
      </w:r>
    </w:p>
    <w:p>
      <w:pPr>
        <w:sectPr>
          <w:footerReference w:type="default" r:id="rId9"/>
          <w:footerReference w:type="first" r:id="rId10"/>
          <w:footnotePr>
            <w:numFmt w:val="decimal"/>
            <w:numRestart w:val="eachPage"/>
          </w:footnotePr>
          <w:type w:val="nextPage"/>
          <w:pgSz w:orient="landscape" w:w="16838" w:h="11906"/>
          <w:pgMar w:left="992" w:right="244" w:gutter="0" w:header="0" w:top="170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[подпись (инициалы, фамилия)]</w:t>
      </w:r>
    </w:p>
    <w:p>
      <w:pPr>
        <w:pStyle w:val="Normal"/>
        <w:spacing w:lineRule="auto" w:line="240" w:before="0" w:after="0"/>
        <w:ind w:left="5811" w:right="2947" w:hanging="0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2" w:name="P240"/>
      <w:bookmarkStart w:id="3" w:name="P79"/>
      <w:bookmarkStart w:id="4" w:name="P80"/>
      <w:bookmarkStart w:id="5" w:name="P81"/>
      <w:bookmarkStart w:id="6" w:name="P83"/>
      <w:bookmarkStart w:id="7" w:name="P90"/>
      <w:bookmarkStart w:id="8" w:name="P102"/>
      <w:bookmarkStart w:id="9" w:name="P104"/>
      <w:bookmarkStart w:id="10" w:name="P105"/>
      <w:bookmarkStart w:id="11" w:name="RANGE!A1%252525252525252525252525252525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ascii="Times New Roman" w:hAnsi="Times New Roman"/>
          <w:color w:val="000000"/>
          <w:sz w:val="24"/>
          <w:szCs w:val="24"/>
        </w:rPr>
        <w:t xml:space="preserve">Приложение № 2.1 </w:t>
      </w:r>
    </w:p>
    <w:p>
      <w:pPr>
        <w:pStyle w:val="Normal"/>
        <w:spacing w:lineRule="auto" w:line="240" w:before="0" w:after="0"/>
        <w:ind w:left="3969" w:firstLine="142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Требованиям к оформлению и составлению сметной документации на выполнение работ по программе ремонтов</w:t>
      </w:r>
    </w:p>
    <w:p>
      <w:pPr>
        <w:pStyle w:val="Normal"/>
        <w:spacing w:lineRule="auto" w:line="240" w:before="0" w:after="0"/>
        <w:ind w:left="142" w:hanging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 № 3п</w:t>
      </w:r>
    </w:p>
    <w:tbl>
      <w:tblPr>
        <w:tblW w:w="93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5"/>
      </w:tblGrid>
      <w:tr>
        <w:trPr/>
        <w:tc>
          <w:tcPr>
            <w:tcW w:w="935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5991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Приложение №_____</w:t>
            </w:r>
          </w:p>
          <w:p>
            <w:pPr>
              <w:pStyle w:val="Normal"/>
              <w:widowControl w:val="false"/>
              <w:spacing w:lineRule="auto" w:line="240" w:before="0" w:after="0"/>
              <w:ind w:left="5991" w:right="-284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pacing w:lineRule="auto" w:line="240" w:before="0" w:after="0"/>
              <w:ind w:left="5991" w:right="-284" w:hanging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(дополнительному соглашению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149"/>
              <w:gridCol w:w="5414"/>
            </w:tblGrid>
            <w:tr>
              <w:trPr>
                <w:trHeight w:val="446" w:hRule="atLeast"/>
              </w:trPr>
              <w:tc>
                <w:tcPr>
                  <w:tcW w:w="4149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41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2014" w:hanging="709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589" w:hanging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предприятия, здания, сооружения, вида шеф-монтажных работ___________________________________________________________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монтажной организации 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организации заказчика 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Составлена 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Расчет заработной платы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206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66"/>
              <w:gridCol w:w="1977"/>
              <w:gridCol w:w="1276"/>
              <w:gridCol w:w="1275"/>
              <w:gridCol w:w="1276"/>
              <w:gridCol w:w="1421"/>
              <w:gridCol w:w="1414"/>
            </w:tblGrid>
            <w:tr>
              <w:trPr>
                <w:tblHeader w:val="true"/>
              </w:trPr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п.</w:t>
                  </w:r>
                </w:p>
              </w:tc>
              <w:tc>
                <w:tcPr>
                  <w:tcW w:w="197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Перечень выполняемых работ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Исполнители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Кол-во чел.-дней</w:t>
                  </w:r>
                </w:p>
              </w:tc>
              <w:tc>
                <w:tcPr>
                  <w:tcW w:w="142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Ср. оплата труда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 1 день</w:t>
                  </w:r>
                </w:p>
              </w:tc>
              <w:tc>
                <w:tcPr>
                  <w:tcW w:w="141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6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97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Кол-во</w:t>
                  </w:r>
                </w:p>
              </w:tc>
              <w:tc>
                <w:tcPr>
                  <w:tcW w:w="12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Долж-ть</w:t>
                  </w:r>
                </w:p>
              </w:tc>
              <w:tc>
                <w:tcPr>
                  <w:tcW w:w="127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421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41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7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</w:tr>
            <w:tr>
              <w:trPr/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97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2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  <w:tr>
              <w:trPr/>
              <w:tc>
                <w:tcPr>
                  <w:tcW w:w="566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97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2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заработной платы, в руб. 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 Накладные расходы, %__________________________________________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 Себестоимость работ 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 Уровень рентабельности, % 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Командировочные расходы (по расчету)____________________________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 (руб.)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(сумма прописью)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Составил: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должность,организация_______подпись__________расшифровка подписи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Проверил: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должность, организация_______подпись________расшифровка подписи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/>
      </w:r>
    </w:p>
    <w:sectPr>
      <w:footerReference w:type="default" r:id="rId11"/>
      <w:footerReference w:type="first" r:id="rId12"/>
      <w:footnotePr>
        <w:numFmt w:val="decimal"/>
        <w:numRestart w:val="eachPage"/>
      </w:footnotePr>
      <w:type w:val="nextPage"/>
      <w:pgSz w:w="11906" w:h="16838"/>
      <w:pgMar w:left="1701" w:right="850" w:gutter="0" w:header="0" w:top="0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9570392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1506607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490194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Пункт 24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3">
    <w:p>
      <w:pPr>
        <w:pStyle w:val="Normal"/>
        <w:jc w:val="both"/>
        <w:rPr>
          <w:rFonts w:ascii="Times New Roman" w:hAnsi="Times New Roman"/>
          <w:sz w:val="20"/>
          <w:szCs w:val="20"/>
        </w:rPr>
      </w:pPr>
      <w:r>
        <w:rPr>
          <w:rStyle w:val="Style3"/>
        </w:rPr>
        <w:footnoteRef/>
      </w:r>
      <w:r>
        <w:rPr>
          <w:sz w:val="20"/>
          <w:szCs w:val="20"/>
        </w:rPr>
        <w:t xml:space="preserve"> </w:t>
      </w:r>
      <w:r>
        <w:rPr>
          <w:rFonts w:eastAsia="Calibri" w:ascii="Times New Roman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>
        <w:rPr>
          <w:rFonts w:ascii="Times New Roman" w:hAnsi="Times New Roman"/>
          <w:sz w:val="20"/>
          <w:szCs w:val="20"/>
        </w:rPr>
        <w:t xml:space="preserve"> </w:t>
      </w:r>
    </w:p>
    <w:p>
      <w:pPr>
        <w:pStyle w:val="FootnoteText"/>
        <w:rPr/>
      </w:pPr>
      <w:r>
        <w:rPr/>
      </w:r>
    </w:p>
  </w:footnote>
  <w:footnote w:id="4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dstrike w:val="false"/>
        <w:strike w:val="false"/>
        <w:sz w:val="28"/>
        <w:i w:val="false"/>
        <w:b w:val="false"/>
        <w:szCs w:val="28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8"/>
        <w:b w:val="false"/>
        <w:szCs w:val="28"/>
        <w:rFonts w:ascii="Times New Roman" w:hAnsi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8"/>
        <w:szCs w:val="28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8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70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3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1" w:customStyle="1">
    <w:name w:val="line number1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ListParagraph">
    <w:name w:val="List Paragraph"/>
    <w:basedOn w:val="Normal"/>
    <w:link w:val="Style13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"/>
    <w:qFormat/>
    <w:rsid w:val="00b5006b"/>
    <w:p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1111" w:customStyle="1">
    <w:name w:val="caption1111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8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2" w:customStyle="1">
    <w:name w:val="Содержимое врезки"/>
    <w:basedOn w:val="Normal"/>
    <w:qFormat/>
    <w:pPr/>
    <w:rPr/>
  </w:style>
  <w:style w:type="paragraph" w:styleId="Xmsolistparagraph" w:customStyle="1">
    <w:name w:val="x_msolistparagraph"/>
    <w:basedOn w:val="Normal"/>
    <w:qFormat/>
    <w:rsid w:val="004a0b96"/>
    <w:pPr>
      <w:suppressAutoHyphens w:val="false"/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andard" w:customStyle="1">
    <w:name w:val="Standard"/>
    <w:qFormat/>
    <w:rsid w:val="000b0ae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Arial Unicode MS"/>
      <w:color w:val="auto"/>
      <w:kern w:val="2"/>
      <w:sz w:val="24"/>
      <w:szCs w:val="24"/>
      <w:lang w:eastAsia="zh-CN" w:bidi="hi-IN" w:val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4">
    <w:name w:val="Table Grid"/>
    <w:basedOn w:val="a3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notes" Target="footnotes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0178A-881F-4AF8-BCC1-9519A4932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Application>AlterOffice/2025.3.1.0$Linux_X86_64 LibreOffice_project/6648c49ab2ca125dff246c75ec00a85a64baa8dd</Application>
  <AppVersion>15.0000</AppVersion>
  <Pages>16</Pages>
  <Words>3229</Words>
  <Characters>22438</Characters>
  <CharactersWithSpaces>26318</CharactersWithSpaces>
  <Paragraphs>482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2025-05-20T11:04:00Z</dcterms:created>
  <dc:creator>Торопов Денис Владимирович</dc:creator>
  <dc:description/>
  <dc:language>ru-RU</dc:language>
  <cp:lastModifiedBy/>
  <cp:lastPrinted>2021-07-09T09:18:00Z</cp:lastPrinted>
  <dcterms:modified xsi:type="dcterms:W3CDTF">2026-08-19T13:17:30Z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